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50AC" w14:textId="571E6D9B" w:rsidR="00332578" w:rsidRDefault="001A401A" w:rsidP="008260AD">
      <w:pPr>
        <w:jc w:val="center"/>
        <w:rPr>
          <w:rFonts w:ascii="Arial" w:hAnsi="Arial" w:cs="Arial"/>
          <w:b/>
        </w:rPr>
      </w:pPr>
      <w:r w:rsidRPr="00332578">
        <w:rPr>
          <w:rFonts w:ascii="Arial" w:hAnsi="Arial" w:cs="Arial"/>
          <w:b/>
        </w:rPr>
        <w:t>H</w:t>
      </w:r>
      <w:r w:rsidR="00332578">
        <w:rPr>
          <w:rFonts w:ascii="Arial" w:hAnsi="Arial" w:cs="Arial"/>
          <w:b/>
        </w:rPr>
        <w:t>andout</w:t>
      </w:r>
      <w:r w:rsidRPr="00332578">
        <w:rPr>
          <w:rFonts w:ascii="Arial" w:hAnsi="Arial" w:cs="Arial"/>
          <w:b/>
        </w:rPr>
        <w:t xml:space="preserve"> 1.5</w:t>
      </w:r>
      <w:r w:rsidR="00EE7C1D" w:rsidRPr="00332578">
        <w:rPr>
          <w:rFonts w:ascii="Arial" w:hAnsi="Arial" w:cs="Arial"/>
          <w:b/>
        </w:rPr>
        <w:t xml:space="preserve">: </w:t>
      </w:r>
    </w:p>
    <w:p w14:paraId="2974CCAF" w14:textId="3526516B" w:rsidR="00EE7C1D" w:rsidRPr="00332578" w:rsidRDefault="00332578" w:rsidP="008260AD">
      <w:pPr>
        <w:jc w:val="center"/>
        <w:rPr>
          <w:rFonts w:ascii="Arial" w:hAnsi="Arial" w:cs="Arial"/>
          <w:b/>
        </w:rPr>
      </w:pPr>
      <w:r w:rsidRPr="00332578">
        <w:rPr>
          <w:rFonts w:ascii="Arial" w:hAnsi="Arial" w:cs="Arial"/>
          <w:b/>
        </w:rPr>
        <w:t>PREPARING FOR THE CHALLENGES OF STAKEHOLDER ENGAGEMENT</w:t>
      </w:r>
    </w:p>
    <w:p w14:paraId="00DD1E55" w14:textId="77777777" w:rsidR="008260AD" w:rsidRDefault="008260AD" w:rsidP="008260AD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355"/>
        <w:gridCol w:w="3354"/>
        <w:gridCol w:w="3469"/>
        <w:gridCol w:w="3312"/>
      </w:tblGrid>
      <w:tr w:rsidR="008260AD" w14:paraId="2A0064BE" w14:textId="77777777">
        <w:tc>
          <w:tcPr>
            <w:tcW w:w="4509" w:type="dxa"/>
            <w:shd w:val="clear" w:color="auto" w:fill="000000"/>
          </w:tcPr>
          <w:p w14:paraId="27B0868C" w14:textId="77777777" w:rsidR="00332578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b/>
              </w:rPr>
              <w:t xml:space="preserve">STAGE IN THE </w:t>
            </w:r>
            <w:r w:rsidR="00332578" w:rsidRPr="00332578">
              <w:rPr>
                <w:rFonts w:ascii="Arial" w:hAnsi="Arial" w:cs="Arial"/>
                <w:b/>
              </w:rPr>
              <w:t>MPA</w:t>
            </w:r>
          </w:p>
          <w:p w14:paraId="3DE164AB" w14:textId="3FE74E38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b/>
              </w:rPr>
              <w:t xml:space="preserve"> PLANNING PROCESS</w:t>
            </w:r>
          </w:p>
        </w:tc>
        <w:tc>
          <w:tcPr>
            <w:tcW w:w="4509" w:type="dxa"/>
            <w:shd w:val="clear" w:color="auto" w:fill="000000"/>
          </w:tcPr>
          <w:p w14:paraId="0ADFBA09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b/>
              </w:rPr>
              <w:t>APPROACHES TO ADDRESS CHALLENGES</w:t>
            </w:r>
          </w:p>
        </w:tc>
        <w:tc>
          <w:tcPr>
            <w:tcW w:w="4509" w:type="dxa"/>
            <w:shd w:val="clear" w:color="auto" w:fill="000000"/>
          </w:tcPr>
          <w:p w14:paraId="43F095E7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b/>
              </w:rPr>
              <w:t>TOOLS TO ADDRESS CHALLENGES</w:t>
            </w:r>
          </w:p>
        </w:tc>
        <w:tc>
          <w:tcPr>
            <w:tcW w:w="4509" w:type="dxa"/>
            <w:shd w:val="clear" w:color="auto" w:fill="000000"/>
          </w:tcPr>
          <w:p w14:paraId="7FB3A651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b/>
              </w:rPr>
              <w:t>LESSONS LEARNED FROM THE FIELD</w:t>
            </w:r>
          </w:p>
        </w:tc>
      </w:tr>
      <w:tr w:rsidR="008260AD" w14:paraId="6ACA5BDC" w14:textId="77777777">
        <w:tc>
          <w:tcPr>
            <w:tcW w:w="4509" w:type="dxa"/>
          </w:tcPr>
          <w:p w14:paraId="6C25957A" w14:textId="77777777" w:rsidR="008260AD" w:rsidRPr="00332578" w:rsidRDefault="008260AD" w:rsidP="008260AD">
            <w:pPr>
              <w:rPr>
                <w:rFonts w:ascii="Arial" w:hAnsi="Arial" w:cs="Arial"/>
                <w:b/>
                <w:caps/>
                <w:sz w:val="22"/>
              </w:rPr>
            </w:pPr>
          </w:p>
          <w:p w14:paraId="78E45BF5" w14:textId="77777777" w:rsidR="008260AD" w:rsidRPr="00332578" w:rsidRDefault="008260AD" w:rsidP="008260AD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1. Pre-planning STAGE Designing a Stakeholder Process</w:t>
            </w:r>
          </w:p>
          <w:p w14:paraId="6BA8C2E8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Deciding on different levels of stakeholder engagement</w:t>
            </w:r>
          </w:p>
          <w:p w14:paraId="444A36B1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Determining on how to choose appropriate stakeholder representation</w:t>
            </w:r>
          </w:p>
          <w:p w14:paraId="6E20FA3E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Determining who will manage and facilitate the process</w:t>
            </w:r>
          </w:p>
          <w:p w14:paraId="022D037B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Deciding on roles and responsibilities of stakeholders</w:t>
            </w:r>
          </w:p>
          <w:p w14:paraId="13EB28FA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Determining type of decision making process</w:t>
            </w:r>
          </w:p>
          <w:p w14:paraId="3F8FC781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Planning for on-going feeding of information and communication with stakeholders</w:t>
            </w:r>
          </w:p>
          <w:p w14:paraId="09E571B0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Avoiding stakeholder fatigue</w:t>
            </w:r>
          </w:p>
          <w:p w14:paraId="42472DE7" w14:textId="77777777" w:rsidR="008260AD" w:rsidRPr="00332578" w:rsidRDefault="008260AD" w:rsidP="00826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32578">
              <w:rPr>
                <w:rFonts w:ascii="Arial" w:hAnsi="Arial" w:cs="Arial"/>
                <w:sz w:val="22"/>
              </w:rPr>
              <w:t>Conducting an open and transparent process</w:t>
            </w:r>
          </w:p>
        </w:tc>
        <w:tc>
          <w:tcPr>
            <w:tcW w:w="4509" w:type="dxa"/>
          </w:tcPr>
          <w:p w14:paraId="3FB8BCE7" w14:textId="77777777" w:rsidR="008260AD" w:rsidRPr="00332578" w:rsidRDefault="008260AD" w:rsidP="008260AD">
            <w:pPr>
              <w:pStyle w:val="ListParagraph"/>
              <w:ind w:left="981"/>
              <w:rPr>
                <w:rFonts w:ascii="Arial" w:hAnsi="Arial" w:cs="Arial"/>
                <w:b/>
                <w:color w:val="FF6600"/>
                <w:sz w:val="22"/>
              </w:rPr>
            </w:pPr>
          </w:p>
          <w:p w14:paraId="2D33B66C" w14:textId="77777777" w:rsidR="008260AD" w:rsidRPr="00332578" w:rsidRDefault="008260AD" w:rsidP="00380CF1">
            <w:pPr>
              <w:pStyle w:val="ListParagraph"/>
              <w:numPr>
                <w:ilvl w:val="0"/>
                <w:numId w:val="2"/>
              </w:numPr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Determine upfront level of staff engagement and financial resources you are able to commit to this process</w:t>
            </w:r>
          </w:p>
          <w:p w14:paraId="33EA122B" w14:textId="77777777" w:rsidR="008260AD" w:rsidRPr="00332578" w:rsidRDefault="008260AD" w:rsidP="00380CF1">
            <w:pPr>
              <w:pStyle w:val="ListParagraph"/>
              <w:numPr>
                <w:ilvl w:val="0"/>
                <w:numId w:val="2"/>
              </w:numPr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Consult with stakeholders early and often to increase acceptance of problems and solutions</w:t>
            </w:r>
          </w:p>
          <w:p w14:paraId="35C7D9A8" w14:textId="77777777" w:rsidR="008260AD" w:rsidRPr="00332578" w:rsidRDefault="008260AD" w:rsidP="00380C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21" w:hanging="540"/>
              <w:rPr>
                <w:rFonts w:ascii="Arial" w:eastAsia="Cambria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Work with the community leaders and organizations that are already established to build strong relationships </w:t>
            </w:r>
          </w:p>
          <w:p w14:paraId="4EF5DA4C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48C46E66" w14:textId="77777777" w:rsidR="00380CF1" w:rsidRPr="00332578" w:rsidRDefault="00380CF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32CC2243" w14:textId="77777777" w:rsidR="00380CF1" w:rsidRPr="00332578" w:rsidRDefault="00380CF1" w:rsidP="00380CF1">
            <w:pPr>
              <w:pStyle w:val="ListParagraph"/>
              <w:numPr>
                <w:ilvl w:val="0"/>
                <w:numId w:val="2"/>
              </w:numPr>
              <w:ind w:left="70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template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laying out skills, knowledge and technical expertise required for </w:t>
            </w:r>
            <w:r w:rsidR="001A401A" w:rsidRPr="00332578">
              <w:rPr>
                <w:rFonts w:ascii="Arial" w:hAnsi="Arial" w:cs="Arial"/>
                <w:b/>
                <w:color w:val="FF6600"/>
                <w:sz w:val="22"/>
              </w:rPr>
              <w:t>management plan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process</w:t>
            </w:r>
          </w:p>
          <w:p w14:paraId="5C4B2AB2" w14:textId="77777777" w:rsidR="00380CF1" w:rsidRPr="00332578" w:rsidRDefault="00380CF1" w:rsidP="00380CF1">
            <w:pPr>
              <w:pStyle w:val="ListParagraph"/>
              <w:numPr>
                <w:ilvl w:val="0"/>
                <w:numId w:val="2"/>
              </w:numPr>
              <w:ind w:left="70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charter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l</w:t>
            </w:r>
            <w:r w:rsidR="00C02737" w:rsidRPr="00332578">
              <w:rPr>
                <w:rFonts w:ascii="Arial" w:hAnsi="Arial" w:cs="Arial"/>
                <w:b/>
                <w:color w:val="FF6600"/>
                <w:sz w:val="22"/>
              </w:rPr>
              <w:t>a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ying out structure, protocols and procedures for planning team</w:t>
            </w:r>
            <w:r w:rsidR="009E235A" w:rsidRPr="00332578">
              <w:rPr>
                <w:rFonts w:ascii="Arial" w:hAnsi="Arial" w:cs="Arial"/>
                <w:b/>
                <w:color w:val="FF6600"/>
                <w:sz w:val="22"/>
              </w:rPr>
              <w:t>, consider having them sign the charter</w:t>
            </w:r>
          </w:p>
          <w:p w14:paraId="4AB1DE02" w14:textId="77777777" w:rsidR="00380CF1" w:rsidRPr="00332578" w:rsidRDefault="00380CF1" w:rsidP="00380CF1">
            <w:pPr>
              <w:pStyle w:val="ListParagraph"/>
              <w:numPr>
                <w:ilvl w:val="0"/>
                <w:numId w:val="2"/>
              </w:numPr>
              <w:ind w:left="70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communications plan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for the duration of the process</w:t>
            </w:r>
          </w:p>
          <w:p w14:paraId="249EC96C" w14:textId="77777777" w:rsidR="008260AD" w:rsidRPr="00332578" w:rsidRDefault="00380CF1" w:rsidP="00380CF1">
            <w:pPr>
              <w:pStyle w:val="ListParagraph"/>
              <w:numPr>
                <w:ilvl w:val="0"/>
                <w:numId w:val="2"/>
              </w:numPr>
              <w:ind w:left="70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nomination form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to ensure stakeholder representative is supported by broader stakeholder group</w:t>
            </w:r>
          </w:p>
        </w:tc>
        <w:tc>
          <w:tcPr>
            <w:tcW w:w="4509" w:type="dxa"/>
          </w:tcPr>
          <w:p w14:paraId="7AA1EDC7" w14:textId="77777777" w:rsidR="00380CF1" w:rsidRPr="00332578" w:rsidRDefault="00380CF1" w:rsidP="008260AD">
            <w:pPr>
              <w:jc w:val="center"/>
              <w:rPr>
                <w:rFonts w:ascii="Arial" w:hAnsi="Arial" w:cs="Arial"/>
                <w:b/>
                <w:color w:val="FF6600"/>
              </w:rPr>
            </w:pPr>
          </w:p>
          <w:p w14:paraId="312BD851" w14:textId="77777777" w:rsidR="00380CF1" w:rsidRPr="00332578" w:rsidRDefault="00380CF1" w:rsidP="00380CF1">
            <w:pPr>
              <w:pStyle w:val="ListParagraph"/>
              <w:numPr>
                <w:ilvl w:val="0"/>
                <w:numId w:val="16"/>
              </w:numPr>
              <w:ind w:left="513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Inevitably, you will forget a stakeholder who should be on your planning team so don’t be afraid to add someone or find another role for them</w:t>
            </w:r>
          </w:p>
          <w:p w14:paraId="7A1659FD" w14:textId="77777777" w:rsidR="00380CF1" w:rsidRPr="00332578" w:rsidRDefault="00380CF1" w:rsidP="00380CF1">
            <w:pPr>
              <w:pStyle w:val="ListParagraph"/>
              <w:numPr>
                <w:ilvl w:val="0"/>
                <w:numId w:val="16"/>
              </w:numPr>
              <w:ind w:left="513"/>
              <w:rPr>
                <w:rFonts w:ascii="Arial" w:hAnsi="Arial" w:cs="Arial"/>
                <w:b/>
                <w:i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Clearly layout your final decision making process and the protocols for coming to agreement, </w:t>
            </w:r>
            <w:r w:rsidRPr="00332578">
              <w:rPr>
                <w:rFonts w:ascii="Arial" w:hAnsi="Arial" w:cs="Arial"/>
                <w:b/>
                <w:i/>
                <w:color w:val="FF6600"/>
                <w:sz w:val="22"/>
              </w:rPr>
              <w:t xml:space="preserve">AND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be sure your facilitator enforces the protocols</w:t>
            </w:r>
          </w:p>
          <w:p w14:paraId="46873273" w14:textId="77777777" w:rsidR="00380CF1" w:rsidRPr="00332578" w:rsidRDefault="00380CF1" w:rsidP="00380CF1">
            <w:pPr>
              <w:pStyle w:val="ListParagraph"/>
              <w:numPr>
                <w:ilvl w:val="0"/>
                <w:numId w:val="16"/>
              </w:numPr>
              <w:ind w:left="513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Often times you will find that a stakeholder representative is not there in earnest, but rather to watch dog the process, address this at the first indication and don’t be afraid to </w:t>
            </w:r>
            <w:r w:rsidR="00EE7C1D" w:rsidRPr="00332578">
              <w:rPr>
                <w:rFonts w:ascii="Arial" w:hAnsi="Arial" w:cs="Arial"/>
                <w:b/>
                <w:color w:val="FF6600"/>
                <w:sz w:val="22"/>
              </w:rPr>
              <w:t>address this issue and take action of necessary</w:t>
            </w:r>
          </w:p>
          <w:p w14:paraId="4BA74336" w14:textId="77777777" w:rsidR="008260AD" w:rsidRPr="00332578" w:rsidRDefault="008260AD" w:rsidP="00380CF1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8260AD" w14:paraId="6D5D9822" w14:textId="77777777">
        <w:tc>
          <w:tcPr>
            <w:tcW w:w="4509" w:type="dxa"/>
          </w:tcPr>
          <w:p w14:paraId="703300AE" w14:textId="77777777" w:rsidR="008260AD" w:rsidRPr="00332578" w:rsidRDefault="008260AD" w:rsidP="008260AD">
            <w:pPr>
              <w:pStyle w:val="ListParagraph"/>
              <w:rPr>
                <w:rFonts w:ascii="Arial" w:hAnsi="Arial" w:cs="Arial"/>
                <w:b/>
              </w:rPr>
            </w:pPr>
          </w:p>
          <w:p w14:paraId="6FADF37E" w14:textId="77777777" w:rsidR="008260AD" w:rsidRPr="00332578" w:rsidRDefault="008260AD" w:rsidP="008260AD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2. Characterizing the Members of Your Planning Team</w:t>
            </w:r>
          </w:p>
          <w:p w14:paraId="7F631258" w14:textId="77777777" w:rsidR="008260AD" w:rsidRPr="00332578" w:rsidRDefault="008260AD" w:rsidP="008260A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Understanding each stakeholder’s wants, needs and expectations</w:t>
            </w:r>
          </w:p>
          <w:p w14:paraId="16C3B7A0" w14:textId="77777777" w:rsidR="008260AD" w:rsidRPr="00332578" w:rsidRDefault="008260AD" w:rsidP="008260A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Selecting the right people</w:t>
            </w:r>
          </w:p>
          <w:p w14:paraId="6D684020" w14:textId="77777777" w:rsidR="008260AD" w:rsidRPr="00332578" w:rsidRDefault="008260AD" w:rsidP="008260A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Identifying appropriate levels of engagement</w:t>
            </w:r>
          </w:p>
          <w:p w14:paraId="53710502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31DA0175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1376B648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their memberships and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affiliations</w:t>
            </w:r>
          </w:p>
          <w:p w14:paraId="4C3B944A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their beliefs and attitudes about the issues</w:t>
            </w:r>
          </w:p>
          <w:p w14:paraId="24B4B433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the homogeneity of each stakeholder group</w:t>
            </w:r>
          </w:p>
          <w:p w14:paraId="4371CFC9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their relationship to the management area and why they want to engage in this process</w:t>
            </w:r>
          </w:p>
          <w:p w14:paraId="003D21E6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the degree of economic and social/cultural reliance on the resources</w:t>
            </w:r>
          </w:p>
          <w:p w14:paraId="444A19CB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their behaviors in regards to the issues</w:t>
            </w:r>
          </w:p>
          <w:p w14:paraId="69CC6526" w14:textId="77777777" w:rsidR="008260AD" w:rsidRPr="00332578" w:rsidRDefault="008260AD" w:rsidP="00692B36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Understand whether they are more oriented to the present or the future</w:t>
            </w:r>
          </w:p>
          <w:p w14:paraId="61515A50" w14:textId="77777777" w:rsidR="008260AD" w:rsidRPr="00332578" w:rsidRDefault="008260AD" w:rsidP="00317AD0">
            <w:pPr>
              <w:pStyle w:val="ListParagraph"/>
              <w:numPr>
                <w:ilvl w:val="0"/>
                <w:numId w:val="4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Understand any barriers in their willingness to come to solutions  </w:t>
            </w:r>
          </w:p>
        </w:tc>
        <w:tc>
          <w:tcPr>
            <w:tcW w:w="4509" w:type="dxa"/>
          </w:tcPr>
          <w:p w14:paraId="0902A467" w14:textId="77777777" w:rsidR="00380CF1" w:rsidRPr="00332578" w:rsidRDefault="00380CF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4569C821" w14:textId="77777777" w:rsidR="00380CF1" w:rsidRPr="00332578" w:rsidRDefault="009E235A" w:rsidP="00692B36">
            <w:pPr>
              <w:pStyle w:val="ListParagraph"/>
              <w:numPr>
                <w:ilvl w:val="0"/>
                <w:numId w:val="17"/>
              </w:numPr>
              <w:ind w:hanging="468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I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nterview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planning members before you start to engage with them in the planning process</w:t>
            </w:r>
          </w:p>
          <w:p w14:paraId="062F631F" w14:textId="77777777" w:rsidR="00380CF1" w:rsidRPr="00332578" w:rsidRDefault="009E235A" w:rsidP="00692B36">
            <w:pPr>
              <w:pStyle w:val="ListParagraph"/>
              <w:numPr>
                <w:ilvl w:val="0"/>
                <w:numId w:val="17"/>
              </w:numPr>
              <w:ind w:hanging="468"/>
              <w:rPr>
                <w:rFonts w:ascii="Arial" w:hAnsi="Arial" w:cs="Arial"/>
                <w:b/>
                <w:color w:val="FF6600"/>
                <w:sz w:val="22"/>
                <w:u w:val="single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E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ngage your planning team in an informal activity prior to starting the planning process – e.g., 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walking or boat tour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of management area to hear what they know about the area; a 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joint mapping exercise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to get preliminary input from the planning team; informal </w:t>
            </w:r>
            <w:r w:rsidR="00380CF1"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social activity </w:t>
            </w:r>
          </w:p>
          <w:p w14:paraId="62FA5A86" w14:textId="77777777" w:rsidR="008260AD" w:rsidRPr="00332578" w:rsidRDefault="008260AD" w:rsidP="00380CF1">
            <w:pPr>
              <w:rPr>
                <w:rFonts w:ascii="Arial" w:hAnsi="Arial" w:cs="Arial"/>
                <w:b/>
                <w:color w:val="FF6600"/>
                <w:sz w:val="22"/>
              </w:rPr>
            </w:pPr>
          </w:p>
        </w:tc>
        <w:tc>
          <w:tcPr>
            <w:tcW w:w="4509" w:type="dxa"/>
          </w:tcPr>
          <w:p w14:paraId="396FC4B6" w14:textId="77777777" w:rsidR="00380CF1" w:rsidRPr="00332578" w:rsidRDefault="00380CF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0FDA4187" w14:textId="77777777" w:rsidR="00380CF1" w:rsidRPr="00332578" w:rsidRDefault="00380CF1" w:rsidP="00380CF1">
            <w:pPr>
              <w:pStyle w:val="ListParagraph"/>
              <w:numPr>
                <w:ilvl w:val="0"/>
                <w:numId w:val="4"/>
              </w:numPr>
              <w:tabs>
                <w:tab w:val="left" w:pos="513"/>
              </w:tabs>
              <w:ind w:left="513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Ensure that the stakeholder groups are actually involved and support the development process, and not just their one representative at the table</w:t>
            </w:r>
          </w:p>
          <w:p w14:paraId="43108F7D" w14:textId="77777777" w:rsidR="008260AD" w:rsidRPr="00332578" w:rsidRDefault="008260AD" w:rsidP="00380CF1">
            <w:pPr>
              <w:ind w:hanging="153"/>
              <w:jc w:val="center"/>
              <w:rPr>
                <w:rFonts w:ascii="Arial" w:hAnsi="Arial" w:cs="Arial"/>
                <w:b/>
              </w:rPr>
            </w:pPr>
          </w:p>
        </w:tc>
      </w:tr>
      <w:tr w:rsidR="008260AD" w:rsidRPr="00332578" w14:paraId="4B72C660" w14:textId="77777777">
        <w:tc>
          <w:tcPr>
            <w:tcW w:w="4509" w:type="dxa"/>
          </w:tcPr>
          <w:p w14:paraId="3AA23581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7BEB7817" w14:textId="77777777" w:rsidR="008260AD" w:rsidRPr="00332578" w:rsidRDefault="008260AD" w:rsidP="008260AD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3. Building a Working Relationship</w:t>
            </w:r>
          </w:p>
          <w:p w14:paraId="136B0F95" w14:textId="77777777" w:rsidR="008260AD" w:rsidRPr="00332578" w:rsidRDefault="008260AD" w:rsidP="008260A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Building trust</w:t>
            </w:r>
          </w:p>
          <w:p w14:paraId="0D41791C" w14:textId="77777777" w:rsidR="008260AD" w:rsidRPr="00332578" w:rsidRDefault="008260AD" w:rsidP="008260A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Opening the doors of communication</w:t>
            </w:r>
          </w:p>
          <w:p w14:paraId="23CFE092" w14:textId="77777777" w:rsidR="008260AD" w:rsidRPr="00332578" w:rsidRDefault="008260AD" w:rsidP="008260A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Learning how to share information</w:t>
            </w:r>
          </w:p>
          <w:p w14:paraId="78E6F9C2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50087492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6F6CF0DC" w14:textId="77777777" w:rsidR="008260AD" w:rsidRPr="00332578" w:rsidRDefault="008260AD" w:rsidP="00692B36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Create an environment for open communication</w:t>
            </w:r>
          </w:p>
          <w:p w14:paraId="4161105F" w14:textId="77777777" w:rsidR="008260AD" w:rsidRPr="00332578" w:rsidRDefault="008260AD" w:rsidP="00692B36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Consult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 with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your local communities and mak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e them feel like </w:t>
            </w:r>
            <w:r w:rsidRPr="00332578">
              <w:rPr>
                <w:rFonts w:ascii="Arial" w:eastAsia="Cambria" w:hAnsi="Arial" w:cs="Arial"/>
                <w:b/>
                <w:i/>
                <w:color w:val="FF6600"/>
                <w:sz w:val="22"/>
              </w:rPr>
              <w:t>their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 issues are being heard</w:t>
            </w:r>
          </w:p>
          <w:p w14:paraId="43BDEE71" w14:textId="77777777" w:rsidR="008260AD" w:rsidRPr="00332578" w:rsidRDefault="008260AD" w:rsidP="00692B36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M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ake repeated effort to re-establish contact with stakeholders, particularly aft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er contentious situations occur</w:t>
            </w:r>
          </w:p>
          <w:p w14:paraId="68714E66" w14:textId="77777777" w:rsidR="008260AD" w:rsidRPr="00332578" w:rsidRDefault="008260AD" w:rsidP="008260AD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Ensure that the stakeholder representatives are </w:t>
            </w:r>
            <w:r w:rsidR="009E235A"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assisted in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 develop</w:t>
            </w:r>
            <w:r w:rsidR="009E235A"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ing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the skills they need to participate in the planning process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 and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lastRenderedPageBreak/>
              <w:t xml:space="preserve">effectively 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solve problems</w:t>
            </w:r>
          </w:p>
        </w:tc>
        <w:tc>
          <w:tcPr>
            <w:tcW w:w="4509" w:type="dxa"/>
          </w:tcPr>
          <w:p w14:paraId="5DD987BA" w14:textId="77777777" w:rsidR="00380CF1" w:rsidRPr="00332578" w:rsidRDefault="00380CF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7D38E141" w14:textId="77777777" w:rsidR="009E235A" w:rsidRPr="00332578" w:rsidRDefault="009E235A" w:rsidP="009E235A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Develop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 xml:space="preserve"> a mechanism or procedure for receiving regular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input from the local community this could be through a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website,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community meetings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or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workshops</w:t>
            </w:r>
          </w:p>
          <w:p w14:paraId="0A267008" w14:textId="77777777" w:rsidR="009E235A" w:rsidRPr="00332578" w:rsidRDefault="009E235A" w:rsidP="009E235A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S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et up a way to keep com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munities informed about your plans for the future this could be through a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website,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community meetings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or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workshops</w:t>
            </w:r>
          </w:p>
          <w:p w14:paraId="7FA4884B" w14:textId="77777777" w:rsidR="009E235A" w:rsidRPr="00332578" w:rsidRDefault="009E235A" w:rsidP="009E235A">
            <w:pPr>
              <w:pStyle w:val="ListParagraph"/>
              <w:tabs>
                <w:tab w:val="left" w:pos="621"/>
              </w:tabs>
              <w:ind w:left="621"/>
              <w:rPr>
                <w:rFonts w:ascii="Arial" w:hAnsi="Arial" w:cs="Arial"/>
                <w:b/>
                <w:color w:val="FF6600"/>
                <w:sz w:val="22"/>
              </w:rPr>
            </w:pPr>
          </w:p>
          <w:p w14:paraId="660D9796" w14:textId="77777777" w:rsidR="009E235A" w:rsidRPr="00332578" w:rsidRDefault="009E235A" w:rsidP="009E235A">
            <w:pPr>
              <w:pStyle w:val="ListParagraph"/>
              <w:tabs>
                <w:tab w:val="left" w:pos="621"/>
              </w:tabs>
              <w:ind w:left="621"/>
              <w:rPr>
                <w:rFonts w:ascii="Arial" w:hAnsi="Arial" w:cs="Arial"/>
                <w:b/>
                <w:color w:val="FF6600"/>
                <w:sz w:val="22"/>
              </w:rPr>
            </w:pPr>
          </w:p>
          <w:p w14:paraId="327D3687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08A19524" w14:textId="77777777" w:rsidR="00692B36" w:rsidRPr="00332578" w:rsidRDefault="00692B36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39E32D1E" w14:textId="77777777" w:rsidR="009E235A" w:rsidRPr="00332578" w:rsidRDefault="009E235A" w:rsidP="009E235A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Be proactive, solution oriented, present facts not speculation</w:t>
            </w:r>
          </w:p>
          <w:p w14:paraId="5B46A3B9" w14:textId="77777777" w:rsidR="00F11DE5" w:rsidRPr="00332578" w:rsidRDefault="009E235A" w:rsidP="009E235A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A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cknowledged internally,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and publically state</w:t>
            </w:r>
            <w:r w:rsidRPr="00332578">
              <w:rPr>
                <w:rFonts w:ascii="Arial" w:eastAsia="Cambria" w:hAnsi="Arial" w:cs="Arial"/>
                <w:b/>
                <w:color w:val="FF6600"/>
                <w:sz w:val="22"/>
              </w:rPr>
              <w:t>, that you need the community’s trust to gain socia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l license to manage effectively</w:t>
            </w:r>
          </w:p>
          <w:p w14:paraId="4003E984" w14:textId="77777777" w:rsidR="00F11DE5" w:rsidRPr="00332578" w:rsidRDefault="00F11DE5" w:rsidP="00F11DE5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Initial meetings with stakeholders should be on their own turf, where they are most comfortable (e.g., pubs, docks, cafes)</w:t>
            </w:r>
          </w:p>
          <w:p w14:paraId="712249B6" w14:textId="77777777" w:rsidR="008260AD" w:rsidRPr="00332578" w:rsidRDefault="00F11DE5" w:rsidP="00EE7C1D">
            <w:pPr>
              <w:pStyle w:val="ListParagraph"/>
              <w:numPr>
                <w:ilvl w:val="0"/>
                <w:numId w:val="6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A sense of trust will wax and wane throughout any process, never give up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lastRenderedPageBreak/>
              <w:t>continuing to work on building trust</w:t>
            </w:r>
            <w:r w:rsidR="00C02737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</w:p>
        </w:tc>
      </w:tr>
      <w:tr w:rsidR="008260AD" w:rsidRPr="00332578" w14:paraId="44F6F0D6" w14:textId="77777777">
        <w:tc>
          <w:tcPr>
            <w:tcW w:w="4509" w:type="dxa"/>
          </w:tcPr>
          <w:p w14:paraId="0D312313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311B4D58" w14:textId="77777777" w:rsidR="005E5B9B" w:rsidRPr="00332578" w:rsidRDefault="005E5B9B" w:rsidP="00106701">
            <w:pPr>
              <w:rPr>
                <w:rFonts w:ascii="Arial" w:hAnsi="Arial" w:cs="Arial"/>
                <w:b/>
                <w:caps/>
                <w:sz w:val="22"/>
              </w:rPr>
            </w:pPr>
          </w:p>
          <w:p w14:paraId="7F7300B5" w14:textId="77777777" w:rsidR="005E5B9B" w:rsidRPr="00332578" w:rsidRDefault="005E5B9B" w:rsidP="00106701">
            <w:pPr>
              <w:rPr>
                <w:rFonts w:ascii="Arial" w:hAnsi="Arial" w:cs="Arial"/>
                <w:b/>
                <w:caps/>
                <w:sz w:val="22"/>
              </w:rPr>
            </w:pPr>
          </w:p>
          <w:p w14:paraId="79EF147D" w14:textId="77777777" w:rsidR="005E5B9B" w:rsidRPr="00332578" w:rsidRDefault="005E5B9B" w:rsidP="00106701">
            <w:pPr>
              <w:rPr>
                <w:rFonts w:ascii="Arial" w:hAnsi="Arial" w:cs="Arial"/>
                <w:b/>
                <w:caps/>
                <w:sz w:val="22"/>
              </w:rPr>
            </w:pPr>
          </w:p>
          <w:p w14:paraId="63F1FF9C" w14:textId="77777777" w:rsidR="00106701" w:rsidRPr="00332578" w:rsidRDefault="00106701" w:rsidP="00106701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4. Setting the Stage for That initial Engagement</w:t>
            </w:r>
          </w:p>
          <w:p w14:paraId="55E7FBC8" w14:textId="77777777" w:rsidR="00106701" w:rsidRPr="00332578" w:rsidRDefault="00106701" w:rsidP="0010670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Identifying and understanding the problem (big picture)</w:t>
            </w:r>
          </w:p>
          <w:p w14:paraId="3FB30804" w14:textId="77777777" w:rsidR="00106701" w:rsidRPr="00332578" w:rsidRDefault="00106701" w:rsidP="0010670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Building joint vision</w:t>
            </w:r>
          </w:p>
          <w:p w14:paraId="52474B8E" w14:textId="3C92393B" w:rsidR="00106701" w:rsidRPr="00332578" w:rsidRDefault="00106701" w:rsidP="0010670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 xml:space="preserve">Coming to agreement on the </w:t>
            </w:r>
            <w:r w:rsidR="00FC7B8D" w:rsidRPr="00332578">
              <w:rPr>
                <w:rFonts w:ascii="Arial" w:hAnsi="Arial" w:cs="Arial"/>
                <w:sz w:val="22"/>
              </w:rPr>
              <w:t xml:space="preserve">MPA management </w:t>
            </w:r>
            <w:r w:rsidRPr="00332578">
              <w:rPr>
                <w:rFonts w:ascii="Arial" w:hAnsi="Arial" w:cs="Arial"/>
                <w:sz w:val="22"/>
              </w:rPr>
              <w:t>objectives</w:t>
            </w:r>
          </w:p>
          <w:p w14:paraId="142A7914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3C73BCB9" w14:textId="77777777" w:rsidR="005E5B9B" w:rsidRPr="00332578" w:rsidRDefault="005E5B9B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3F1BD17C" w14:textId="77777777" w:rsidR="005E5B9B" w:rsidRPr="00332578" w:rsidRDefault="005E5B9B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29405871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248DAB16" w14:textId="77777777" w:rsidR="00106701" w:rsidRPr="00332578" w:rsidRDefault="00106701" w:rsidP="00F11DE5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Ensure the aims of the </w:t>
            </w:r>
            <w:r w:rsidR="00FC7B8D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MPA planning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process are simple and everyone in the understands what, when, why, and how the process will happen</w:t>
            </w:r>
          </w:p>
          <w:p w14:paraId="69E94222" w14:textId="77777777" w:rsidR="00106701" w:rsidRPr="00332578" w:rsidRDefault="00106701" w:rsidP="00F11DE5">
            <w:pPr>
              <w:pStyle w:val="ListParagraph"/>
              <w:numPr>
                <w:ilvl w:val="0"/>
                <w:numId w:val="8"/>
              </w:numPr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Identify key issues and problems that resonate with the members of your planning team</w:t>
            </w:r>
          </w:p>
          <w:p w14:paraId="349AF5B5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37D0F50D" w14:textId="77777777" w:rsidR="005E5B9B" w:rsidRPr="00332578" w:rsidRDefault="005E5B9B" w:rsidP="00F11DE5">
            <w:pPr>
              <w:rPr>
                <w:rFonts w:ascii="Arial" w:hAnsi="Arial" w:cs="Arial"/>
                <w:b/>
              </w:rPr>
            </w:pPr>
          </w:p>
          <w:p w14:paraId="6655B475" w14:textId="77777777" w:rsidR="005E5B9B" w:rsidRPr="00332578" w:rsidRDefault="005E5B9B" w:rsidP="00F11DE5">
            <w:pPr>
              <w:rPr>
                <w:rFonts w:ascii="Arial" w:hAnsi="Arial" w:cs="Arial"/>
                <w:b/>
              </w:rPr>
            </w:pPr>
          </w:p>
          <w:p w14:paraId="00F8EA50" w14:textId="77777777" w:rsidR="00F11DE5" w:rsidRPr="00332578" w:rsidRDefault="00F11DE5" w:rsidP="00F11DE5">
            <w:pPr>
              <w:rPr>
                <w:rFonts w:ascii="Arial" w:hAnsi="Arial" w:cs="Arial"/>
                <w:b/>
              </w:rPr>
            </w:pPr>
          </w:p>
          <w:p w14:paraId="6841B190" w14:textId="77777777" w:rsidR="00F11DE5" w:rsidRPr="00332578" w:rsidRDefault="00F11DE5" w:rsidP="00F11DE5">
            <w:pPr>
              <w:pStyle w:val="ListParagraph"/>
              <w:numPr>
                <w:ilvl w:val="0"/>
                <w:numId w:val="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Scenario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building is a good way to build a range of options for the future</w:t>
            </w:r>
            <w:r w:rsidR="004C53A0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</w:p>
          <w:p w14:paraId="3B45CB7D" w14:textId="77777777" w:rsidR="004C53A0" w:rsidRPr="00332578" w:rsidRDefault="000A1F3C" w:rsidP="00F11DE5">
            <w:pPr>
              <w:pStyle w:val="ListParagraph"/>
              <w:numPr>
                <w:ilvl w:val="0"/>
                <w:numId w:val="8"/>
              </w:numPr>
              <w:ind w:left="612" w:hanging="450"/>
              <w:rPr>
                <w:rFonts w:ascii="Arial" w:hAnsi="Arial" w:cs="Arial"/>
                <w:b/>
                <w:color w:val="548DD4" w:themeColor="text2" w:themeTint="99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Developing a joint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vision statement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takes the planning team from where they are now to where they want to be in the future</w:t>
            </w:r>
            <w:r w:rsidR="004C53A0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</w:p>
          <w:p w14:paraId="7F9C481B" w14:textId="77777777" w:rsidR="008260AD" w:rsidRPr="00332578" w:rsidRDefault="004C53A0" w:rsidP="00EE7C1D">
            <w:pPr>
              <w:pStyle w:val="ListParagraph"/>
              <w:numPr>
                <w:ilvl w:val="0"/>
                <w:numId w:val="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Diagramming the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problem statement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</w:t>
            </w:r>
          </w:p>
        </w:tc>
        <w:tc>
          <w:tcPr>
            <w:tcW w:w="4509" w:type="dxa"/>
          </w:tcPr>
          <w:p w14:paraId="298741E0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260AD" w14:paraId="39426315" w14:textId="77777777">
        <w:tc>
          <w:tcPr>
            <w:tcW w:w="4509" w:type="dxa"/>
          </w:tcPr>
          <w:p w14:paraId="50822000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2B128D2C" w14:textId="77777777" w:rsidR="00106701" w:rsidRPr="00332578" w:rsidRDefault="00106701" w:rsidP="00106701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5. Gathering Information for Decision-making</w:t>
            </w:r>
          </w:p>
          <w:p w14:paraId="01BE9D6A" w14:textId="77777777" w:rsidR="00106701" w:rsidRPr="00332578" w:rsidRDefault="00106701" w:rsidP="0010670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Communicating science</w:t>
            </w:r>
          </w:p>
          <w:p w14:paraId="08A9A97A" w14:textId="77777777" w:rsidR="00106701" w:rsidRPr="00332578" w:rsidRDefault="00106701" w:rsidP="0010670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Using stakeholders as a source of information</w:t>
            </w:r>
          </w:p>
          <w:p w14:paraId="6FD7691D" w14:textId="77777777" w:rsidR="00106701" w:rsidRPr="00332578" w:rsidRDefault="00106701" w:rsidP="0010670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Sharing local knowledge</w:t>
            </w:r>
          </w:p>
          <w:p w14:paraId="35E86C6C" w14:textId="77777777" w:rsidR="00106701" w:rsidRPr="00332578" w:rsidRDefault="00106701" w:rsidP="0010670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Understanding spatial, temporal, dimensional and infrastructure requirements of both target resources and human uses</w:t>
            </w:r>
          </w:p>
          <w:p w14:paraId="30942F58" w14:textId="77777777" w:rsidR="00106701" w:rsidRPr="00332578" w:rsidRDefault="00106701" w:rsidP="0010670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Analyzing areas of conflict and compatibility</w:t>
            </w:r>
          </w:p>
          <w:p w14:paraId="3FE92114" w14:textId="77777777" w:rsidR="008260AD" w:rsidRPr="00332578" w:rsidRDefault="008260AD" w:rsidP="00FC7B8D">
            <w:pPr>
              <w:pStyle w:val="ListParagraph"/>
              <w:rPr>
                <w:rFonts w:ascii="Arial" w:hAnsi="Arial" w:cs="Arial"/>
                <w:sz w:val="22"/>
              </w:rPr>
            </w:pPr>
          </w:p>
        </w:tc>
        <w:tc>
          <w:tcPr>
            <w:tcW w:w="4509" w:type="dxa"/>
          </w:tcPr>
          <w:p w14:paraId="6DA6DB7F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353F922C" w14:textId="77777777" w:rsidR="004C53A0" w:rsidRPr="00332578" w:rsidRDefault="00106701" w:rsidP="00581BBE">
            <w:pPr>
              <w:pStyle w:val="ListParagraph"/>
              <w:numPr>
                <w:ilvl w:val="0"/>
                <w:numId w:val="11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Use a common language that everyone understands</w:t>
            </w:r>
          </w:p>
          <w:p w14:paraId="62D75F59" w14:textId="77777777" w:rsidR="00106701" w:rsidRPr="00332578" w:rsidRDefault="004C53A0" w:rsidP="00581BBE">
            <w:pPr>
              <w:pStyle w:val="ListParagraph"/>
              <w:numPr>
                <w:ilvl w:val="0"/>
                <w:numId w:val="11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Draw on the expertise of the planning team as much as possible, but know when to bring in experts</w:t>
            </w:r>
          </w:p>
          <w:p w14:paraId="7B71D077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58575E17" w14:textId="77777777" w:rsidR="00581BBE" w:rsidRPr="00332578" w:rsidRDefault="00581BBE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2AC171BF" w14:textId="77777777" w:rsidR="004C53A0" w:rsidRPr="00332578" w:rsidRDefault="004C53A0" w:rsidP="004C53A0">
            <w:pPr>
              <w:pStyle w:val="ListParagraph"/>
              <w:numPr>
                <w:ilvl w:val="0"/>
                <w:numId w:val="1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Use visual aids for communicating science like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graphs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,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tables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and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pie charts</w:t>
            </w:r>
          </w:p>
          <w:p w14:paraId="5A357A9C" w14:textId="77777777" w:rsidR="004C53A0" w:rsidRPr="00332578" w:rsidRDefault="004C53A0" w:rsidP="004C53A0">
            <w:pPr>
              <w:pStyle w:val="ListParagraph"/>
              <w:numPr>
                <w:ilvl w:val="0"/>
                <w:numId w:val="1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Group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or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individual interviews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are an effective approach to gathering local knowledge</w:t>
            </w:r>
          </w:p>
          <w:p w14:paraId="50ADA4C9" w14:textId="77777777" w:rsidR="00117C2C" w:rsidRPr="00332578" w:rsidRDefault="004C53A0" w:rsidP="004C53A0">
            <w:pPr>
              <w:pStyle w:val="ListParagraph"/>
              <w:numPr>
                <w:ilvl w:val="0"/>
                <w:numId w:val="1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Mapping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of human uses helps to clarify the spatial extent and needs of each human use activity</w:t>
            </w:r>
          </w:p>
          <w:p w14:paraId="3097A55D" w14:textId="77777777" w:rsidR="004C53A0" w:rsidRPr="00332578" w:rsidRDefault="00117C2C" w:rsidP="004C53A0">
            <w:pPr>
              <w:pStyle w:val="ListParagraph"/>
              <w:numPr>
                <w:ilvl w:val="0"/>
                <w:numId w:val="1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Have planning team research potential future uses by using the i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nternet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or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interviewing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municipal government about inquiries for permits</w:t>
            </w:r>
          </w:p>
          <w:p w14:paraId="44AF9B4E" w14:textId="77777777" w:rsidR="008260AD" w:rsidRPr="00332578" w:rsidRDefault="004C53A0" w:rsidP="00EE7C1D">
            <w:pPr>
              <w:pStyle w:val="ListParagraph"/>
              <w:numPr>
                <w:ilvl w:val="0"/>
                <w:numId w:val="18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Use a simple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compatibility matrix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to start the discussion about compatible uses </w:t>
            </w:r>
          </w:p>
        </w:tc>
        <w:tc>
          <w:tcPr>
            <w:tcW w:w="4509" w:type="dxa"/>
          </w:tcPr>
          <w:p w14:paraId="1FE5D3DB" w14:textId="77777777" w:rsidR="00C02737" w:rsidRPr="00332578" w:rsidRDefault="00C02737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4EFD4E33" w14:textId="77777777" w:rsidR="00117C2C" w:rsidRPr="00332578" w:rsidRDefault="00C02737" w:rsidP="00C02737">
            <w:pPr>
              <w:pStyle w:val="ListParagraph"/>
              <w:numPr>
                <w:ilvl w:val="0"/>
                <w:numId w:val="19"/>
              </w:numPr>
              <w:ind w:left="603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Create a level playing ground for all planning team members by providing them with ample information, well in advance of meetings, and in a format that speaks to their ability to understand the information</w:t>
            </w:r>
          </w:p>
          <w:p w14:paraId="66ADEBF7" w14:textId="77777777" w:rsidR="008260AD" w:rsidRPr="00332578" w:rsidRDefault="00117C2C" w:rsidP="00C02737">
            <w:pPr>
              <w:pStyle w:val="ListParagraph"/>
              <w:numPr>
                <w:ilvl w:val="0"/>
                <w:numId w:val="19"/>
              </w:numPr>
              <w:ind w:left="603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If the compatibility analysis is conducted carefully and with full buy-in, it will make moving into the decision making process easier</w:t>
            </w:r>
          </w:p>
        </w:tc>
      </w:tr>
      <w:tr w:rsidR="008260AD" w14:paraId="209EE091" w14:textId="77777777">
        <w:tc>
          <w:tcPr>
            <w:tcW w:w="4509" w:type="dxa"/>
          </w:tcPr>
          <w:p w14:paraId="42DFFC3D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25DC814F" w14:textId="77777777" w:rsidR="00106701" w:rsidRPr="00332578" w:rsidRDefault="00106701" w:rsidP="00106701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6. Looking for Joint Solutions – Making Management Decisions</w:t>
            </w:r>
          </w:p>
          <w:p w14:paraId="175982AD" w14:textId="77777777" w:rsidR="00106701" w:rsidRPr="00332578" w:rsidRDefault="00106701" w:rsidP="001067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Taking ownership of the problem</w:t>
            </w:r>
          </w:p>
          <w:p w14:paraId="5FF6EB8E" w14:textId="77777777" w:rsidR="00106701" w:rsidRPr="00332578" w:rsidRDefault="00106701" w:rsidP="001067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Understanding and identifying a range of management solutions</w:t>
            </w:r>
          </w:p>
          <w:p w14:paraId="1EB79615" w14:textId="77777777" w:rsidR="00106701" w:rsidRPr="00332578" w:rsidRDefault="00106701" w:rsidP="0010670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Understanding the need for trade-offs</w:t>
            </w:r>
          </w:p>
          <w:p w14:paraId="040561E6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</w:tcPr>
          <w:p w14:paraId="5D8965DB" w14:textId="77777777" w:rsidR="00106701" w:rsidRPr="00332578" w:rsidRDefault="00106701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7B157053" w14:textId="77777777" w:rsidR="00106701" w:rsidRPr="00332578" w:rsidRDefault="00106701" w:rsidP="00117C2C">
            <w:pPr>
              <w:pStyle w:val="ListParagraph"/>
              <w:numPr>
                <w:ilvl w:val="0"/>
                <w:numId w:val="13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Ensure the goals and needs of all stakeholder groups are known and acknowledged</w:t>
            </w:r>
          </w:p>
          <w:p w14:paraId="00832454" w14:textId="77777777" w:rsidR="008260AD" w:rsidRPr="00332578" w:rsidRDefault="00106701" w:rsidP="00FC7B8D">
            <w:pPr>
              <w:pStyle w:val="ListParagraph"/>
              <w:numPr>
                <w:ilvl w:val="0"/>
                <w:numId w:val="13"/>
              </w:numPr>
              <w:tabs>
                <w:tab w:val="left" w:pos="621"/>
              </w:tabs>
              <w:ind w:left="621" w:hanging="54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Layout a full range of management options (solutions) before you even get into the discussion </w:t>
            </w:r>
            <w:r w:rsidR="00FC7B8D" w:rsidRPr="00332578">
              <w:rPr>
                <w:rFonts w:ascii="Arial" w:hAnsi="Arial" w:cs="Arial"/>
                <w:b/>
                <w:color w:val="FF6600"/>
                <w:sz w:val="22"/>
              </w:rPr>
              <w:t>finalizing the management strategies</w:t>
            </w:r>
          </w:p>
        </w:tc>
        <w:tc>
          <w:tcPr>
            <w:tcW w:w="4509" w:type="dxa"/>
          </w:tcPr>
          <w:p w14:paraId="42156DE0" w14:textId="77777777" w:rsidR="00117C2C" w:rsidRPr="00332578" w:rsidRDefault="00117C2C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4B250F87" w14:textId="77777777" w:rsidR="008260AD" w:rsidRPr="00332578" w:rsidRDefault="00117C2C" w:rsidP="00FC7B8D">
            <w:pPr>
              <w:pStyle w:val="ListParagraph"/>
              <w:numPr>
                <w:ilvl w:val="0"/>
                <w:numId w:val="20"/>
              </w:numPr>
              <w:ind w:left="612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a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>matrix of possible management options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for the planning team to review and understand before they come together to develop </w:t>
            </w:r>
            <w:r w:rsidR="00FC7B8D" w:rsidRPr="00332578">
              <w:rPr>
                <w:rFonts w:ascii="Arial" w:hAnsi="Arial" w:cs="Arial"/>
                <w:b/>
                <w:color w:val="FF6600"/>
                <w:sz w:val="22"/>
              </w:rPr>
              <w:t>the final management plan</w:t>
            </w:r>
          </w:p>
        </w:tc>
        <w:tc>
          <w:tcPr>
            <w:tcW w:w="4509" w:type="dxa"/>
          </w:tcPr>
          <w:p w14:paraId="67D19B96" w14:textId="77777777" w:rsidR="00117C2C" w:rsidRPr="00332578" w:rsidRDefault="00117C2C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6F4AB8C2" w14:textId="77777777" w:rsidR="008260AD" w:rsidRPr="00332578" w:rsidRDefault="00117C2C" w:rsidP="00117C2C">
            <w:pPr>
              <w:pStyle w:val="ListParagraph"/>
              <w:numPr>
                <w:ilvl w:val="0"/>
                <w:numId w:val="21"/>
              </w:numPr>
              <w:ind w:left="603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At this stage there should be a strong sense of cooperation with the joint focus primarily being on meeting the management objectives already established by the planning team</w:t>
            </w:r>
          </w:p>
        </w:tc>
      </w:tr>
      <w:tr w:rsidR="008260AD" w14:paraId="3C09AC0E" w14:textId="77777777">
        <w:tc>
          <w:tcPr>
            <w:tcW w:w="4509" w:type="dxa"/>
            <w:tcBorders>
              <w:bottom w:val="single" w:sz="4" w:space="0" w:color="000000" w:themeColor="text1"/>
            </w:tcBorders>
          </w:tcPr>
          <w:p w14:paraId="0A19D858" w14:textId="77777777" w:rsidR="001E15F4" w:rsidRPr="00332578" w:rsidRDefault="001E15F4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1C8D6E41" w14:textId="77777777" w:rsidR="001E15F4" w:rsidRPr="00332578" w:rsidRDefault="00FC7B8D" w:rsidP="001E15F4">
            <w:pPr>
              <w:rPr>
                <w:rFonts w:ascii="Arial" w:hAnsi="Arial" w:cs="Arial"/>
                <w:b/>
                <w:caps/>
                <w:sz w:val="22"/>
              </w:rPr>
            </w:pPr>
            <w:r w:rsidRPr="00332578">
              <w:rPr>
                <w:rFonts w:ascii="Arial" w:hAnsi="Arial" w:cs="Arial"/>
                <w:b/>
                <w:caps/>
                <w:sz w:val="22"/>
              </w:rPr>
              <w:t>7. Communicating THE PLANNING</w:t>
            </w:r>
            <w:r w:rsidR="001E15F4" w:rsidRPr="00332578">
              <w:rPr>
                <w:rFonts w:ascii="Arial" w:hAnsi="Arial" w:cs="Arial"/>
                <w:b/>
                <w:caps/>
                <w:sz w:val="22"/>
              </w:rPr>
              <w:t xml:space="preserve"> Process Outcomes</w:t>
            </w:r>
          </w:p>
          <w:p w14:paraId="78CB759F" w14:textId="77777777" w:rsidR="001E15F4" w:rsidRPr="00332578" w:rsidRDefault="001E15F4" w:rsidP="001E15F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Ensuring appropriate communication with broader stakeholder community</w:t>
            </w:r>
          </w:p>
          <w:p w14:paraId="306C55F0" w14:textId="77777777" w:rsidR="001E15F4" w:rsidRPr="00332578" w:rsidRDefault="001E15F4" w:rsidP="001E15F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>Managing engagement with the press</w:t>
            </w:r>
          </w:p>
          <w:p w14:paraId="4729B7B9" w14:textId="77777777" w:rsidR="001E15F4" w:rsidRPr="00332578" w:rsidRDefault="001E15F4" w:rsidP="001E15F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 xml:space="preserve">Informing user groups about the new </w:t>
            </w:r>
            <w:r w:rsidR="00FC7B8D" w:rsidRPr="00332578">
              <w:rPr>
                <w:rFonts w:ascii="Arial" w:hAnsi="Arial" w:cs="Arial"/>
                <w:sz w:val="22"/>
              </w:rPr>
              <w:t>MPA</w:t>
            </w:r>
            <w:r w:rsidRPr="00332578">
              <w:rPr>
                <w:rFonts w:ascii="Arial" w:hAnsi="Arial" w:cs="Arial"/>
                <w:sz w:val="22"/>
              </w:rPr>
              <w:t xml:space="preserve"> plan</w:t>
            </w:r>
          </w:p>
          <w:p w14:paraId="2679FE63" w14:textId="77777777" w:rsidR="001E15F4" w:rsidRPr="00332578" w:rsidRDefault="001E15F4" w:rsidP="001E15F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2"/>
              </w:rPr>
            </w:pPr>
            <w:r w:rsidRPr="00332578">
              <w:rPr>
                <w:rFonts w:ascii="Arial" w:hAnsi="Arial" w:cs="Arial"/>
                <w:sz w:val="22"/>
              </w:rPr>
              <w:t xml:space="preserve">Empowering stakeholders to continue their participation in the implementation of the </w:t>
            </w:r>
            <w:r w:rsidR="00FC7B8D" w:rsidRPr="00332578">
              <w:rPr>
                <w:rFonts w:ascii="Arial" w:hAnsi="Arial" w:cs="Arial"/>
                <w:sz w:val="22"/>
              </w:rPr>
              <w:t>MPA management</w:t>
            </w:r>
            <w:r w:rsidRPr="00332578">
              <w:rPr>
                <w:rFonts w:ascii="Arial" w:hAnsi="Arial" w:cs="Arial"/>
                <w:sz w:val="22"/>
              </w:rPr>
              <w:t xml:space="preserve"> plan</w:t>
            </w:r>
          </w:p>
          <w:p w14:paraId="3120EF10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  <w:tcBorders>
              <w:bottom w:val="single" w:sz="4" w:space="0" w:color="000000" w:themeColor="text1"/>
            </w:tcBorders>
          </w:tcPr>
          <w:p w14:paraId="577FFD25" w14:textId="77777777" w:rsidR="001E15F4" w:rsidRPr="00332578" w:rsidRDefault="001E15F4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641F6774" w14:textId="77777777" w:rsidR="001E15F4" w:rsidRPr="00332578" w:rsidRDefault="001E15F4" w:rsidP="00117C2C">
            <w:pPr>
              <w:pStyle w:val="ListParagraph"/>
              <w:numPr>
                <w:ilvl w:val="0"/>
                <w:numId w:val="15"/>
              </w:numPr>
              <w:ind w:left="621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Ask for help from stakeholders for implementation of the plan</w:t>
            </w:r>
          </w:p>
          <w:p w14:paraId="23D0C660" w14:textId="77777777" w:rsidR="001E15F4" w:rsidRPr="00332578" w:rsidRDefault="001E15F4" w:rsidP="00117C2C">
            <w:pPr>
              <w:pStyle w:val="ListParagraph"/>
              <w:numPr>
                <w:ilvl w:val="0"/>
                <w:numId w:val="15"/>
              </w:numPr>
              <w:ind w:left="621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Use stakeholders as liaisons to the broader community to communicate about what is going on</w:t>
            </w:r>
          </w:p>
          <w:p w14:paraId="1B5726AC" w14:textId="77777777" w:rsidR="001E15F4" w:rsidRPr="00332578" w:rsidRDefault="001E15F4" w:rsidP="00117C2C">
            <w:pPr>
              <w:pStyle w:val="ListParagraph"/>
              <w:numPr>
                <w:ilvl w:val="0"/>
                <w:numId w:val="15"/>
              </w:numPr>
              <w:ind w:left="621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Be proactive and manage the media messages</w:t>
            </w:r>
          </w:p>
          <w:p w14:paraId="79734722" w14:textId="77777777" w:rsidR="001E15F4" w:rsidRPr="00332578" w:rsidRDefault="001E15F4" w:rsidP="00117C2C">
            <w:pPr>
              <w:pStyle w:val="ListParagraph"/>
              <w:numPr>
                <w:ilvl w:val="0"/>
                <w:numId w:val="15"/>
              </w:numPr>
              <w:ind w:left="621" w:hanging="450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>Create and deliver messages that are appropriate for each target audience</w:t>
            </w:r>
          </w:p>
          <w:p w14:paraId="567CDB76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  <w:tcBorders>
              <w:bottom w:val="single" w:sz="4" w:space="0" w:color="000000" w:themeColor="text1"/>
            </w:tcBorders>
          </w:tcPr>
          <w:p w14:paraId="0EFC1E4E" w14:textId="77777777" w:rsidR="00117C2C" w:rsidRPr="00332578" w:rsidRDefault="00117C2C" w:rsidP="008260AD">
            <w:pPr>
              <w:jc w:val="center"/>
              <w:rPr>
                <w:rFonts w:ascii="Arial" w:hAnsi="Arial" w:cs="Arial"/>
                <w:b/>
              </w:rPr>
            </w:pPr>
          </w:p>
          <w:p w14:paraId="7923410B" w14:textId="77777777" w:rsidR="008260AD" w:rsidRPr="00332578" w:rsidRDefault="00117C2C" w:rsidP="00EE7C1D">
            <w:pPr>
              <w:pStyle w:val="ListParagraph"/>
              <w:numPr>
                <w:ilvl w:val="0"/>
                <w:numId w:val="22"/>
              </w:numPr>
              <w:ind w:hanging="558"/>
              <w:rPr>
                <w:rFonts w:ascii="Arial" w:hAnsi="Arial" w:cs="Arial"/>
                <w:b/>
                <w:color w:val="FF6600"/>
                <w:sz w:val="22"/>
              </w:rPr>
            </w:pPr>
            <w:r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Develop a </w:t>
            </w:r>
            <w:r w:rsidRPr="00332578">
              <w:rPr>
                <w:rFonts w:ascii="Arial" w:hAnsi="Arial" w:cs="Arial"/>
                <w:b/>
                <w:color w:val="FF6600"/>
                <w:sz w:val="22"/>
                <w:u w:val="single"/>
              </w:rPr>
              <w:t xml:space="preserve">template </w:t>
            </w:r>
            <w:r w:rsidRPr="00332578">
              <w:rPr>
                <w:rFonts w:ascii="Arial" w:hAnsi="Arial" w:cs="Arial"/>
                <w:b/>
                <w:color w:val="FF6600"/>
                <w:sz w:val="22"/>
              </w:rPr>
              <w:t>to understand each of your target audiences</w:t>
            </w:r>
            <w:r w:rsidR="00317AD0" w:rsidRPr="00332578">
              <w:rPr>
                <w:rFonts w:ascii="Arial" w:hAnsi="Arial" w:cs="Arial"/>
                <w:b/>
                <w:color w:val="FF6600"/>
                <w:sz w:val="22"/>
              </w:rPr>
              <w:t xml:space="preserve"> and how best to communicate messages to them </w:t>
            </w:r>
          </w:p>
        </w:tc>
        <w:tc>
          <w:tcPr>
            <w:tcW w:w="4509" w:type="dxa"/>
            <w:tcBorders>
              <w:bottom w:val="single" w:sz="4" w:space="0" w:color="000000" w:themeColor="text1"/>
            </w:tcBorders>
          </w:tcPr>
          <w:p w14:paraId="5883315D" w14:textId="77777777" w:rsidR="008260AD" w:rsidRPr="00332578" w:rsidRDefault="008260AD" w:rsidP="008260A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E15F4" w14:paraId="419A3D3B" w14:textId="77777777">
        <w:tc>
          <w:tcPr>
            <w:tcW w:w="18036" w:type="dxa"/>
            <w:gridSpan w:val="4"/>
            <w:shd w:val="clear" w:color="auto" w:fill="B3B3B3"/>
          </w:tcPr>
          <w:p w14:paraId="5A1A64CF" w14:textId="77777777" w:rsidR="001E15F4" w:rsidRDefault="001E15F4" w:rsidP="008260AD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552BC6B7" w14:textId="77777777" w:rsidR="008260AD" w:rsidRPr="008260AD" w:rsidRDefault="008260AD" w:rsidP="008260AD">
      <w:pPr>
        <w:jc w:val="center"/>
        <w:rPr>
          <w:rFonts w:asciiTheme="majorHAnsi" w:hAnsiTheme="majorHAnsi"/>
          <w:b/>
        </w:rPr>
      </w:pPr>
    </w:p>
    <w:sectPr w:rsidR="008260AD" w:rsidRPr="008260AD" w:rsidSect="00796CE7">
      <w:pgSz w:w="15840" w:h="24480" w:orient="landscape"/>
      <w:pgMar w:top="1080" w:right="1440" w:bottom="180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CC2"/>
    <w:multiLevelType w:val="hybridMultilevel"/>
    <w:tmpl w:val="4D9817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93BF0"/>
    <w:multiLevelType w:val="hybridMultilevel"/>
    <w:tmpl w:val="E346A3A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AC74EF"/>
    <w:multiLevelType w:val="hybridMultilevel"/>
    <w:tmpl w:val="8CCE21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931A8"/>
    <w:multiLevelType w:val="hybridMultilevel"/>
    <w:tmpl w:val="62E20B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30A00"/>
    <w:multiLevelType w:val="hybridMultilevel"/>
    <w:tmpl w:val="8ED271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0A2422"/>
    <w:multiLevelType w:val="hybridMultilevel"/>
    <w:tmpl w:val="B61250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7D3"/>
    <w:multiLevelType w:val="hybridMultilevel"/>
    <w:tmpl w:val="C8B0C4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42633"/>
    <w:multiLevelType w:val="hybridMultilevel"/>
    <w:tmpl w:val="56BAA2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34A16"/>
    <w:multiLevelType w:val="hybridMultilevel"/>
    <w:tmpl w:val="CE5AFE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1A1491"/>
    <w:multiLevelType w:val="hybridMultilevel"/>
    <w:tmpl w:val="BD6678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F462E"/>
    <w:multiLevelType w:val="hybridMultilevel"/>
    <w:tmpl w:val="1C1235D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F91811"/>
    <w:multiLevelType w:val="hybridMultilevel"/>
    <w:tmpl w:val="D12895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93D39"/>
    <w:multiLevelType w:val="hybridMultilevel"/>
    <w:tmpl w:val="E6A62D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82FA0"/>
    <w:multiLevelType w:val="hybridMultilevel"/>
    <w:tmpl w:val="A022E4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B0838"/>
    <w:multiLevelType w:val="hybridMultilevel"/>
    <w:tmpl w:val="10BEAF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A0030"/>
    <w:multiLevelType w:val="hybridMultilevel"/>
    <w:tmpl w:val="D01EB9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C93D7C"/>
    <w:multiLevelType w:val="hybridMultilevel"/>
    <w:tmpl w:val="FFDEA04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4E13D7"/>
    <w:multiLevelType w:val="hybridMultilevel"/>
    <w:tmpl w:val="A42009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07EB0"/>
    <w:multiLevelType w:val="hybridMultilevel"/>
    <w:tmpl w:val="FEA256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F1309"/>
    <w:multiLevelType w:val="hybridMultilevel"/>
    <w:tmpl w:val="061CE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40215"/>
    <w:multiLevelType w:val="hybridMultilevel"/>
    <w:tmpl w:val="0DD29F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74EA4"/>
    <w:multiLevelType w:val="hybridMultilevel"/>
    <w:tmpl w:val="3BB05C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0246460">
    <w:abstractNumId w:val="13"/>
  </w:num>
  <w:num w:numId="2" w16cid:durableId="2063287190">
    <w:abstractNumId w:val="9"/>
  </w:num>
  <w:num w:numId="3" w16cid:durableId="1022166784">
    <w:abstractNumId w:val="11"/>
  </w:num>
  <w:num w:numId="4" w16cid:durableId="2098482582">
    <w:abstractNumId w:val="4"/>
  </w:num>
  <w:num w:numId="5" w16cid:durableId="154762234">
    <w:abstractNumId w:val="3"/>
  </w:num>
  <w:num w:numId="6" w16cid:durableId="1930388290">
    <w:abstractNumId w:val="21"/>
  </w:num>
  <w:num w:numId="7" w16cid:durableId="1238586736">
    <w:abstractNumId w:val="5"/>
  </w:num>
  <w:num w:numId="8" w16cid:durableId="1586038010">
    <w:abstractNumId w:val="10"/>
  </w:num>
  <w:num w:numId="9" w16cid:durableId="1478689556">
    <w:abstractNumId w:val="15"/>
  </w:num>
  <w:num w:numId="10" w16cid:durableId="788478302">
    <w:abstractNumId w:val="6"/>
  </w:num>
  <w:num w:numId="11" w16cid:durableId="1364864631">
    <w:abstractNumId w:val="1"/>
  </w:num>
  <w:num w:numId="12" w16cid:durableId="394744897">
    <w:abstractNumId w:val="2"/>
  </w:num>
  <w:num w:numId="13" w16cid:durableId="559167804">
    <w:abstractNumId w:val="16"/>
  </w:num>
  <w:num w:numId="14" w16cid:durableId="235167882">
    <w:abstractNumId w:val="14"/>
  </w:num>
  <w:num w:numId="15" w16cid:durableId="299389044">
    <w:abstractNumId w:val="8"/>
  </w:num>
  <w:num w:numId="16" w16cid:durableId="882985471">
    <w:abstractNumId w:val="19"/>
  </w:num>
  <w:num w:numId="17" w16cid:durableId="6255459">
    <w:abstractNumId w:val="20"/>
  </w:num>
  <w:num w:numId="18" w16cid:durableId="1954439701">
    <w:abstractNumId w:val="12"/>
  </w:num>
  <w:num w:numId="19" w16cid:durableId="1714234758">
    <w:abstractNumId w:val="7"/>
  </w:num>
  <w:num w:numId="20" w16cid:durableId="427965035">
    <w:abstractNumId w:val="0"/>
  </w:num>
  <w:num w:numId="21" w16cid:durableId="1641425383">
    <w:abstractNumId w:val="17"/>
  </w:num>
  <w:num w:numId="22" w16cid:durableId="16308638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AD"/>
    <w:rsid w:val="000453F7"/>
    <w:rsid w:val="000A1F3C"/>
    <w:rsid w:val="00106701"/>
    <w:rsid w:val="00117C2C"/>
    <w:rsid w:val="001A401A"/>
    <w:rsid w:val="001E15F4"/>
    <w:rsid w:val="002F5F09"/>
    <w:rsid w:val="00317AD0"/>
    <w:rsid w:val="00332578"/>
    <w:rsid w:val="00345083"/>
    <w:rsid w:val="00380CF1"/>
    <w:rsid w:val="00484DE0"/>
    <w:rsid w:val="0048646B"/>
    <w:rsid w:val="004C53A0"/>
    <w:rsid w:val="00581BBE"/>
    <w:rsid w:val="00585DFC"/>
    <w:rsid w:val="005E5B9B"/>
    <w:rsid w:val="005F352E"/>
    <w:rsid w:val="00626E74"/>
    <w:rsid w:val="00692B36"/>
    <w:rsid w:val="00796CE7"/>
    <w:rsid w:val="008260AD"/>
    <w:rsid w:val="008D4A38"/>
    <w:rsid w:val="00900726"/>
    <w:rsid w:val="00980B66"/>
    <w:rsid w:val="009E235A"/>
    <w:rsid w:val="00C02737"/>
    <w:rsid w:val="00C4696F"/>
    <w:rsid w:val="00D11244"/>
    <w:rsid w:val="00EE7C1D"/>
    <w:rsid w:val="00F11DE5"/>
    <w:rsid w:val="00F94704"/>
    <w:rsid w:val="00FC7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5FD8A65F"/>
  <w15:docId w15:val="{9440DA27-9D6D-774F-A06F-0B3D9509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D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F432A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F432A8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F432A8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432A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8260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26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1154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Walton</dc:creator>
  <cp:keywords/>
  <cp:lastModifiedBy>Diana Di Nitto</cp:lastModifiedBy>
  <cp:revision>2</cp:revision>
  <cp:lastPrinted>2011-10-19T03:03:00Z</cp:lastPrinted>
  <dcterms:created xsi:type="dcterms:W3CDTF">2022-06-09T17:46:00Z</dcterms:created>
  <dcterms:modified xsi:type="dcterms:W3CDTF">2022-06-09T17:46:00Z</dcterms:modified>
</cp:coreProperties>
</file>